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Journalistiek, argwaan en het toekennen van intenties</w:t>
      </w:r>
    </w:p>
    <w:p>
      <w:pPr>
        <w:jc w:val="center"/>
      </w:pPr>
      <w:r>
        <w:rPr>
          <w:i/>
        </w:rPr>
        <w:t>Een methodische beschouwing naar aanleiding van de Bijlmerramp</w:t>
      </w:r>
    </w:p>
    <w:p/>
    <w:p>
      <w:r>
        <w:t>De regel dat een kennisbank niet mag speculeren over intenties is methodologisch sterk. Beschrijf wat iemand deed, zei of naliet, maar ken geen motief toe dat niet uit bronnen blijkt. Die regel is in wezen ook een goede journalistieke regel.</w:t>
      </w:r>
    </w:p>
    <w:p>
      <w:pPr>
        <w:pStyle w:val="Heading1"/>
      </w:pPr>
      <w:r>
        <w:t>Van feit naar intentie</w:t>
      </w:r>
    </w:p>
    <w:p>
      <w:pPr>
        <w:pStyle w:val="ListBullet"/>
      </w:pPr>
      <w:r>
        <w:rPr>
          <w:b/>
        </w:rPr>
        <w:t xml:space="preserve">“Een document werd niet openbaar gemaakt.” </w:t>
      </w:r>
      <w:r>
        <w:t>Dit is controleerbaar gedrag.</w:t>
      </w:r>
    </w:p>
    <w:p>
      <w:pPr>
        <w:pStyle w:val="ListBullet"/>
      </w:pPr>
      <w:r>
        <w:rPr>
          <w:b/>
        </w:rPr>
        <w:t xml:space="preserve">“Een document bleef vertrouwelijk.” </w:t>
      </w:r>
      <w:r>
        <w:t>Ook dit kan objectief worden vastgesteld.</w:t>
      </w:r>
    </w:p>
    <w:p>
      <w:pPr>
        <w:pStyle w:val="ListBullet"/>
      </w:pPr>
      <w:r>
        <w:rPr>
          <w:b/>
        </w:rPr>
        <w:t xml:space="preserve">“De overheid wilde het document niet openbaar maken.” </w:t>
      </w:r>
      <w:r>
        <w:t>Dit vereist al bewijs over besluitvorming en motieven.</w:t>
      </w:r>
    </w:p>
    <w:p>
      <w:pPr>
        <w:pStyle w:val="ListBullet"/>
      </w:pPr>
      <w:r>
        <w:rPr>
          <w:b/>
        </w:rPr>
        <w:t xml:space="preserve">“De overheid hield het document geheim om de waarheid over de ramp te verbergen.” </w:t>
      </w:r>
      <w:r>
        <w:t>Dit is een veel zwaardere causale en intentionele bewering en vraagt overeenkomstig sterk bewijs.</w:t>
      </w:r>
    </w:p>
    <w:p>
      <w:r>
        <w:t>Bij de Bijlmerramp is dit onderscheid belangrijk. Een ontbrekend document, een laat antwoord, tegenstrijdige communicatie, een niet gevonden cockpit voice recorder of een slecht functionerende informatieketen kan aanleiding zijn voor nader onderzoek. Geen van die observaties bewijst op zichzelf verbergen, tegenwerken of bewust misleiden.</w:t>
      </w:r>
    </w:p>
    <w:p>
      <w:pPr>
        <w:pStyle w:val="Heading1"/>
      </w:pPr>
      <w:r>
        <w:t>Argwaan mag een onderzoeksvraag zijn</w:t>
      </w:r>
    </w:p>
    <w:p>
      <w:r>
        <w:t>Journalistiek mag wantrouwig zijn. Dat hoort bij haar controlerende functie. Een journalist hoeft een officiële verklaring niet zonder meer te accepteren. Methodisch hoort het proces echter als volgt te verlopen:</w:t>
      </w:r>
    </w:p>
    <w:p>
      <w:pPr>
        <w:jc w:val="center"/>
      </w:pPr>
      <w:r>
        <w:rPr>
          <w:b/>
        </w:rPr>
        <w:t>waarneming → vermoeden → onderzoek → toetsing → bewijs → conclusie</w:t>
      </w:r>
    </w:p>
    <w:p>
      <w:r>
        <w:t>Het probleem ontstaat wanneer de middelste stappen verdwijnen en een vermoeden via suggestieve formuleringen geleidelijk onderdeel van het verhaal wordt.</w:t>
      </w:r>
    </w:p>
    <w:p>
      <w:pPr>
        <w:pStyle w:val="Heading1"/>
      </w:pPr>
      <w:r>
        <w:t>Suggestie door samenhang</w:t>
      </w:r>
    </w:p>
    <w:p>
      <w:r>
        <w:t>Journalistiek hoeft een beschuldiging niet letterlijk uit te spreken. De selectie en combinatie van afzonderlijk ware feiten kan al een sterk betekeniskader oproepen. Een tekst kan bijvoorbeeld achter elkaar noemen dat de CVR niet is gevonden, dat ladinginformatie later beschikbaar kwam, dat mannen in witte pakken zijn gezien en dat er verarmd uranium in het toestel aanwezig was. Elk element kan een feitelijke basis hebben, terwijl de combinatie bij de lezer de indruk oproept dat er één verborgen samenhang of geheim achter moet zitten.</w:t>
      </w:r>
    </w:p>
    <w:p>
      <w:r>
        <w:t>Bronkritiek betekent daarom niet alleen controleren of iedere afzonderlijke zin waar is. Ook de betekenis die door de combinatie van die zinnen ontstaat, moet door het bewijs worden gedragen.</w:t>
      </w:r>
    </w:p>
    <w:p>
      <w:pPr>
        <w:pStyle w:val="Heading1"/>
      </w:pPr>
      <w:r>
        <w:t>Wanneer argwaan zichzelf gaat bevestigen</w:t>
      </w:r>
    </w:p>
    <w:p>
      <w:r>
        <w:t>Een hypothese wordt methodisch zwak wanneer ieder mogelijk antwoord er opnieuw in past. Geen document kan dan verdacht zijn, maar een wel geleverd document eveneens. Een ontkenning kan als doofpot worden uitgelegd en ook ondersteunende bronnen kunnen vervolgens als onderdeel van hetzelfde officiële verhaal worden gezien.</w:t>
      </w:r>
    </w:p>
    <w:p>
      <w:r>
        <w:t>Op dat moment wordt de hypothese moeilijk falsifieerbaar. Het onderzoek toetst dan niet meer uitsluitend de werkelijkheid; de werkelijkheid wordt steeds binnen hetzelfde wantrouwenskader geïnterpreteerd.</w:t>
      </w:r>
    </w:p>
    <w:p>
      <w:pPr>
        <w:pStyle w:val="Heading1"/>
      </w:pPr>
      <w:r>
        <w:t>Wantrouwen is niet verboden, maar de bewijslast groeit</w:t>
      </w:r>
    </w:p>
    <w:p>
      <w:r>
        <w:t>Het zou omgekeerd eveneens onjuist zijn om te zeggen dat journalistiek nooit mag vermoeden dat iemand informatie bewust heeft achtergehouden. Soms bestaat daarvoor overtuigend bewijs: interne memo’s, notulen, e-mails, expliciete instructies, aantoonbare misleiding of een duidelijk verschil tussen interne kennis en externe mededelingen.</w:t>
      </w:r>
    </w:p>
    <w:p>
      <w:r>
        <w:t>De juiste vraag is daarom niet of journalistiek wantrouwen mag hebben, maar welke bewijslast past bij de ernst van de beschuldiging. Hoe zwaarder de toegeschreven intentie, hoe sterker en directer het bewijs behoort te zijn.</w:t>
      </w:r>
    </w:p>
    <w:p>
      <w:pPr>
        <w:pStyle w:val="Heading1"/>
      </w:pPr>
      <w:r>
        <w:t>Een mogelijke zwakke plek in de Bijlmerjournalistiek</w:t>
      </w:r>
    </w:p>
    <w:p>
      <w:r>
        <w:t>Bij onderwerpen als route, lading, uranium, CVR en informatievoorziening kunnen onvolledigheid en onzekerheid als betekenisvolle aanwijzingen worden gelezen. Vervolgens kunnen meerdere aanwijzingen elkaar retorisch versterken. Maar meerdere onzekerheden vormen nog geen bewijs voor één verborgen oorzaak.</w:t>
      </w:r>
    </w:p>
    <w:p>
      <w:r>
        <w:rPr>
          <w:b/>
        </w:rPr>
        <w:t>Een verzameling onverklaarde gebeurtenissen bewijst niet dat één actor ze bewust heeft veroorzaakt of verborgen gehouden.</w:t>
      </w:r>
    </w:p>
    <w:p>
      <w:r>
        <w:t>Wie zo’n verbinding wil leggen, moet juist die verbinding zelfstandig aantonen.</w:t>
      </w:r>
    </w:p>
    <w:p>
      <w:pPr>
        <w:pStyle w:val="Heading1"/>
      </w:pPr>
      <w:r>
        <w:t>Dezelfde norm voor iedereen</w:t>
      </w:r>
    </w:p>
    <w:p>
      <w:r>
        <w:t>De kracht van een kennisbank die geen intenties toekent zonder bewijs is dat zij dezelfde norm op zichzelf toepast als op de onderzochte journalistiek. Zij kan bijvoorbeeld vaststellen: “KRO-NCRV reageerde niet inhoudelijk.” Maar zonder interne bron hoort daar niet automatisch bij: “KRO-NCRV wilde geen discussie omdat de omroep zijn reputatie wilde beschermen.”</w:t>
      </w:r>
    </w:p>
    <w:p>
      <w:r>
        <w:t>Dezelfde discipline geldt voor uitspraken als dat de RLD iets wilde verbergen, een minister een onderzoek wilde beïnvloeden, El Al lading geheim wilde houden of onderzoekers zouden hebben tegengewerkt. Eerst moet worden vastgesteld welke handeling plaatsvond, welke alternatieve verklaringen mogelijk zijn en welk bewijs juist de intentionele verklaring ondersteunt.</w:t>
      </w:r>
    </w:p>
    <w:p>
      <w:pPr>
        <w:pStyle w:val="Heading1"/>
      </w:pPr>
      <w:r>
        <w:t>Kernconclusie</w:t>
      </w:r>
    </w:p>
    <w:p>
      <w:r>
        <w:t>Het is te algemeen om te zeggen dat de journalistiek als geheel door suggestie en argwaan wordt gedreven. Argwaan kan een legitiem en noodzakelijk journalistiek instrument zijn. Het wordt problematisch wanneer argwaan van onderzoeksmethode verandert in verklaringsmodel en wanneer suggestie de stap van vermoeden naar bewijs overslaat.</w:t>
      </w:r>
    </w:p>
    <w:p>
      <w:r>
        <w:rPr>
          <w:b/>
        </w:rPr>
        <w:t>Een onbekende intentie blijft onbekend. Beschrijf het gedrag, toon de bron, onderscheid feit van interpretatie en laat een zwaardere conclusie pas toe wanneer daarvoor zelfstandig bewijs bestaat.</w:t>
      </w:r>
    </w:p>
    <w:sectPr w:rsidR="00FC693F" w:rsidRPr="0006063C" w:rsidSect="00034616">
      <w:footerReference w:type="default" r:id="rId9"/>
      <w:pgSz w:w="12240" w:h="15840"/>
      <w:pgMar w:top="1247"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El Al vlucht 1862 – methodische notitie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