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80"/>
      </w:pPr>
      <w:r>
        <w:rPr>
          <w:b/>
          <w:color w:val="17324D"/>
          <w:sz w:val="46"/>
        </w:rPr>
        <w:t>Wat hadden overheid, media en politiek beter kunnen doen?</w:t>
      </w:r>
    </w:p>
    <w:p>
      <w:pPr>
        <w:spacing w:after="280"/>
      </w:pPr>
      <w:r>
        <w:rPr>
          <w:color w:val="5C6670"/>
          <w:sz w:val="26"/>
        </w:rPr>
        <w:t>Lessen uit de maatschappelijke nasleep van El Al-vlucht 1862</w:t>
      </w:r>
    </w:p>
    <w:p>
      <w:pPr>
        <w:pStyle w:val="Heading1"/>
      </w:pPr>
      <w:r>
        <w:rPr>
          <w:b w:val="0"/>
          <w:i w:val="0"/>
        </w:rPr>
        <w:t>Doel van dit document</w:t>
      </w:r>
    </w:p>
    <w:p>
      <w:r>
        <w:rPr>
          <w:b w:val="0"/>
          <w:i w:val="0"/>
        </w:rPr>
        <w:t>Dit document brengt drie eerdere analyses samen. Het onderzoekt niet alleen wat afzonderlijke partijen anders hadden kunnen doen, maar ook hoe bestuurlijke communicatie, journalistieke berichtgeving en politieke agendering elkaar versterkten. De beoordeling maakt steeds onderscheid tussen fouten, nalatigheid, misleiding en onbewezen vermoedens.</w:t>
      </w:r>
    </w:p>
    <w:tbl>
      <w:tblPr>
        <w:tblW w:type="auto" w:w="0"/>
        <w:jc w:val="center"/>
        <w:tblLayout w:type="fixed"/>
        <w:tblLook w:firstColumn="1" w:firstRow="1" w:lastColumn="0" w:lastRow="0" w:noHBand="0" w:noVBand="1" w:val="04A0"/>
      </w:tblPr>
      <w:tblGrid>
        <w:gridCol w:w="9360"/>
      </w:tblGrid>
      <w:tr>
        <w:tc>
          <w:tcPr>
            <w:tcW w:type="dxa" w:w="9360"/>
            <w:shd w:fill="EAF2F5"/>
            <w:tcMar>
              <w:top w:w="150" w:type="dxa"/>
              <w:start w:w="180" w:type="dxa"/>
              <w:bottom w:w="150" w:type="dxa"/>
              <w:end w:w="180" w:type="dxa"/>
            </w:tcMar>
          </w:tcPr>
          <w:p>
            <w:r>
              <w:t>Kernantwoord: volledige maatschappelijke onrust was na zo’n ingrijpende ramp waarschijnlijk niet te voorkomen. De langdurige escalatie tot een nationaal doofpotverhaal was echter niet onvermijdelijk. De belangrijkste gemiste kans was het professioneel organiseren van onzekerheid: openlijk aangeven wat bekend was, wat nog niet bekend was, wie onderzoek deed en wanneer correcties volgden.</w:t>
            </w:r>
          </w:p>
        </w:tc>
      </w:tr>
    </w:tbl>
    <w:p>
      <w:pPr>
        <w:pStyle w:val="Heading1"/>
      </w:pPr>
      <w:r>
        <w:rPr>
          <w:b w:val="0"/>
          <w:i w:val="0"/>
        </w:rPr>
        <w:t>1. Waarom volledige beheersing niet mogelijk was</w:t>
      </w:r>
    </w:p>
    <w:p>
      <w:r>
        <w:rPr>
          <w:b w:val="0"/>
          <w:i w:val="0"/>
        </w:rPr>
        <w:t>De ramp verenigde omstandigheden die ook bij uitstekend bestuur en zorgvuldige journalistiek tot langdurige vragen zouden hebben geleid:</w:t>
      </w:r>
    </w:p>
    <w:p>
      <w:pPr>
        <w:pStyle w:val="ListBullet"/>
      </w:pPr>
      <w:r>
        <w:rPr>
          <w:b w:val="0"/>
          <w:i w:val="0"/>
        </w:rPr>
        <w:t>Een vliegtuig stortte neer in een dichtbevolkte en maatschappelijk kwetsbare wijk.</w:t>
      </w:r>
    </w:p>
    <w:p>
      <w:pPr>
        <w:pStyle w:val="ListBullet"/>
      </w:pPr>
      <w:r>
        <w:rPr>
          <w:b w:val="0"/>
          <w:i w:val="0"/>
        </w:rPr>
        <w:t>Het aantal slachtoffers en de identiteit van vermisten waren aanvankelijk onzeker.</w:t>
      </w:r>
    </w:p>
    <w:p>
      <w:pPr>
        <w:pStyle w:val="ListBullet"/>
      </w:pPr>
      <w:r>
        <w:rPr>
          <w:b w:val="0"/>
          <w:i w:val="0"/>
        </w:rPr>
        <w:t>Het betrof een Israëlisch vrachtvliegtuig, waardoor militaire en veiligheidsveronderstellingen snel ontstonden.</w:t>
      </w:r>
    </w:p>
    <w:p>
      <w:pPr>
        <w:pStyle w:val="ListBullet"/>
      </w:pPr>
      <w:r>
        <w:rPr>
          <w:b w:val="0"/>
          <w:i w:val="0"/>
        </w:rPr>
        <w:t>De cockpit voice recorder werd nooit gevonden.</w:t>
      </w:r>
    </w:p>
    <w:p>
      <w:pPr>
        <w:pStyle w:val="ListBullet"/>
      </w:pPr>
      <w:r>
        <w:rPr>
          <w:b w:val="0"/>
          <w:i w:val="0"/>
        </w:rPr>
        <w:t>Ladingsinformatie was verspreid over verschillende administraties en detailniveaus.</w:t>
      </w:r>
    </w:p>
    <w:p>
      <w:pPr>
        <w:pStyle w:val="ListBullet"/>
      </w:pPr>
      <w:r>
        <w:rPr>
          <w:b w:val="0"/>
          <w:i w:val="0"/>
        </w:rPr>
        <w:t>Bewoners en hulpverleners ontwikkelden werkelijke lichamelijke en psychische klachten zonder één eenvoudige gezamenlijke oorzaak.</w:t>
      </w:r>
    </w:p>
    <w:p>
      <w:pPr>
        <w:pStyle w:val="ListBullet"/>
      </w:pPr>
      <w:r>
        <w:rPr>
          <w:b w:val="0"/>
          <w:i w:val="0"/>
        </w:rPr>
        <w:t>Niet alle onzekerheden konden achteraf definitief worden weggenomen.</w:t>
      </w:r>
    </w:p>
    <w:p>
      <w:r>
        <w:rPr>
          <w:b w:val="0"/>
          <w:i w:val="0"/>
        </w:rPr>
        <w:t>De relevante vraag is daarom niet of alle onrust voorkomen kon worden, maar of instituties hadden kunnen voorkomen dat iedere nieuwe fout, aanvulling of onduidelijkheid als bevestiging van bedrog werd gezien.</w:t>
      </w:r>
    </w:p>
    <w:p>
      <w:pPr>
        <w:pStyle w:val="Heading1"/>
      </w:pPr>
      <w:r>
        <w:rPr>
          <w:b w:val="0"/>
          <w:i w:val="0"/>
        </w:rPr>
        <w:t>2. Wat de overheid beter had kunnen doen</w:t>
      </w:r>
    </w:p>
    <w:p>
      <w:pPr>
        <w:pStyle w:val="Heading2"/>
      </w:pPr>
      <w:r>
        <w:rPr>
          <w:b w:val="0"/>
          <w:i w:val="0"/>
        </w:rPr>
        <w:t>1. Eén onafhankelijk informatiepunt instellen</w:t>
      </w:r>
    </w:p>
    <w:p>
      <w:r>
        <w:rPr>
          <w:b w:val="0"/>
          <w:i w:val="0"/>
        </w:rPr>
        <w:t>Direct na de ramp had één gezamenlijk informatiecentrum de openbare feiten moeten bundelen. Gemeente, luchtvaartonderzoek, politie, justitie, volksgezondheid, brandweer en Schiphol hadden vanuit één gecontroleerde tijdlijn moeten communiceren.</w:t>
      </w:r>
    </w:p>
    <w:p>
      <w:pPr>
        <w:pStyle w:val="Heading2"/>
      </w:pPr>
      <w:r>
        <w:rPr>
          <w:b w:val="0"/>
          <w:i w:val="0"/>
        </w:rPr>
        <w:t>2. Technische onderzoekers rechtstreeks laten uitleggen</w:t>
      </w:r>
    </w:p>
    <w:p>
      <w:r>
        <w:rPr>
          <w:b w:val="0"/>
          <w:i w:val="0"/>
        </w:rPr>
        <w:t>Vooronderzoeker en technische subgroepleiders hadden periodiek moeten kunnen toelichten wat radar, DFDR, wrakonderzoek, motorseparatie, simulatoronderzoek en de zoektocht naar de CVR wel en niet aantoonden. Daarmee was een vroeg deskundig referentiepunt ontstaan.</w:t>
      </w:r>
    </w:p>
    <w:p>
      <w:pPr>
        <w:pStyle w:val="Heading2"/>
      </w:pPr>
      <w:r>
        <w:rPr>
          <w:b w:val="0"/>
          <w:i w:val="0"/>
        </w:rPr>
        <w:t>3. Geen absolute uitspraken over de lading doen</w:t>
      </w:r>
    </w:p>
    <w:p>
      <w:r>
        <w:rPr>
          <w:b w:val="0"/>
          <w:i w:val="0"/>
        </w:rPr>
        <w:t>De vroege geruststelling over “bloemen en parfum” was te stellig zolang de volledige vracht nog niet was gereconstrueerd. Beter was geweest: er zijn geen aanwijzingen voor een uitzonderlijk gevaar, de volledige lading wordt nog onderzocht en aanvullingen worden openbaar toegelicht.</w:t>
      </w:r>
    </w:p>
    <w:p>
      <w:pPr>
        <w:pStyle w:val="Heading2"/>
      </w:pPr>
      <w:r>
        <w:rPr>
          <w:b w:val="0"/>
          <w:i w:val="0"/>
        </w:rPr>
        <w:t>4. Een openbaar en chronologisch ladingsdossier opbouwen</w:t>
      </w:r>
    </w:p>
    <w:p>
      <w:r>
        <w:rPr>
          <w:b w:val="0"/>
          <w:i w:val="0"/>
        </w:rPr>
        <w:t>De overheid had master airwaybill, house airwaybills, NOTOC, gevaarlijke-stoffendocumenten, douanegegevens en latere aanvullingen centraal moeten registreren. Bij ieder nieuw document moest zichtbaar zijn wat het veranderde en of de risicobeoordeling werd aangepast.</w:t>
      </w:r>
    </w:p>
    <w:p>
      <w:pPr>
        <w:pStyle w:val="Heading2"/>
      </w:pPr>
      <w:r>
        <w:rPr>
          <w:b w:val="0"/>
          <w:i w:val="0"/>
        </w:rPr>
        <w:t>5. Gezondheidsregistratie en zorg onmiddellijk organiseren</w:t>
      </w:r>
    </w:p>
    <w:p>
      <w:r>
        <w:rPr>
          <w:b w:val="0"/>
          <w:i w:val="0"/>
        </w:rPr>
        <w:t>Een laagdrempelig meldpunt had vanaf het begin klachten van bewoners, hulpverleners en bergers kunnen registreren. Zorg en erkenning hadden niet afhankelijk mogen zijn van bewijs voor blootstelling aan een geheime stof.</w:t>
      </w:r>
    </w:p>
    <w:p>
      <w:pPr>
        <w:pStyle w:val="ListBullet"/>
      </w:pPr>
      <w:r>
        <w:rPr>
          <w:b w:val="0"/>
          <w:i w:val="0"/>
        </w:rPr>
        <w:t>Aandacht voor brandrook, kerosine, asbest, roet en blusschuim.</w:t>
      </w:r>
    </w:p>
    <w:p>
      <w:pPr>
        <w:pStyle w:val="ListBullet"/>
      </w:pPr>
      <w:r>
        <w:rPr>
          <w:b w:val="0"/>
          <w:i w:val="0"/>
        </w:rPr>
        <w:t>Aandacht voor lichamelijke belasting en ernstig psychisch trauma.</w:t>
      </w:r>
    </w:p>
    <w:p>
      <w:pPr>
        <w:pStyle w:val="ListBullet"/>
      </w:pPr>
      <w:r>
        <w:rPr>
          <w:b w:val="0"/>
          <w:i w:val="0"/>
        </w:rPr>
        <w:t>Periodieke openbare rapportage zonder voorbarige causaliteitsclaims.</w:t>
      </w:r>
    </w:p>
    <w:p>
      <w:pPr>
        <w:pStyle w:val="Heading2"/>
      </w:pPr>
      <w:r>
        <w:rPr>
          <w:b w:val="0"/>
          <w:i w:val="0"/>
        </w:rPr>
        <w:t>6. Onzekerheden in een openbaar vragenregister behandelen</w:t>
      </w:r>
    </w:p>
    <w:p>
      <w:r>
        <w:rPr>
          <w:b w:val="0"/>
          <w:i w:val="0"/>
        </w:rPr>
        <w:t>Vragen over witte pakken, uranium, recorders, route en lading hadden per onderwerp moeten worden gevolgd met de rubrieken: bekend, onbekend, onderzoek, uitkomst en datum van actualisering.</w:t>
      </w:r>
    </w:p>
    <w:p>
      <w:pPr>
        <w:pStyle w:val="Heading2"/>
      </w:pPr>
      <w:r>
        <w:rPr>
          <w:b w:val="0"/>
          <w:i w:val="0"/>
        </w:rPr>
        <w:t>7. Bewoners als gesprekspartner behandelen</w:t>
      </w:r>
    </w:p>
    <w:p>
      <w:r>
        <w:rPr>
          <w:b w:val="0"/>
          <w:i w:val="0"/>
        </w:rPr>
        <w:t>Regelmatige bijeenkomsten in de Bijlmer met onderzoekers, artsen, bestuurders en onafhankelijke gespreksleiders hadden erkenning en controleerbare uitleg kunnen verbinden. Erkenning van klachten is iets anders dan bevestiging van iedere veronderstelde oorzaak.</w:t>
      </w:r>
    </w:p>
    <w:p>
      <w:pPr>
        <w:pStyle w:val="Heading2"/>
      </w:pPr>
      <w:r>
        <w:rPr>
          <w:b w:val="0"/>
          <w:i w:val="0"/>
        </w:rPr>
        <w:t>8. Fouten zichtbaar corrigeren</w:t>
      </w:r>
    </w:p>
    <w:p>
      <w:r>
        <w:rPr>
          <w:b w:val="0"/>
          <w:i w:val="0"/>
        </w:rPr>
        <w:t>Iedere correctie had volgens een vast schema moeten worden gepubliceerd: eerdere mededeling, nieuwe informatie, oorzaak van de fout en gevolg voor de conclusie. Een stille correctie lijkt gemakkelijk op betrapte misleiding; een zichtbare correctie kan betrouwbaarheid tonen.</w:t>
      </w:r>
    </w:p>
    <w:p>
      <w:pPr>
        <w:pStyle w:val="Heading2"/>
      </w:pPr>
      <w:r>
        <w:rPr>
          <w:b w:val="0"/>
          <w:i w:val="0"/>
        </w:rPr>
        <w:t>9. De Kamer vanuit één dossier informeren</w:t>
      </w:r>
    </w:p>
    <w:p>
      <w:r>
        <w:rPr>
          <w:b w:val="0"/>
          <w:i w:val="0"/>
        </w:rPr>
        <w:t>Ministeries hadden één verantwoordelijke coördinator, één tijdlijn en één documentregister moeten gebruiken. De overheid hoefde niet alles onmiddellijk te weten, maar moest steeds kunnen uitleggen wat zij wanneer wist en waarop dat berustte.</w:t>
      </w:r>
    </w:p>
    <w:p>
      <w:pPr>
        <w:pStyle w:val="Heading2"/>
      </w:pPr>
      <w:r>
        <w:rPr>
          <w:b w:val="0"/>
          <w:i w:val="0"/>
        </w:rPr>
        <w:t>10. Eerder een onafhankelijk en afgebakend vervolgonderzoek instellen</w:t>
      </w:r>
    </w:p>
    <w:p>
      <w:r>
        <w:rPr>
          <w:b w:val="0"/>
          <w:i w:val="0"/>
        </w:rPr>
        <w:t>Voordat de kwestie volledig politiseerde, had een multidisciplinair onderzoek kunnen bepalen welke technische, medische en bestuurlijke vragen werkelijk openstonden. Dat had later mediaspektakel en herhaald onderzoek mogelijk beperkt.</w:t>
      </w:r>
    </w:p>
    <w:tbl>
      <w:tblPr>
        <w:tblW w:type="auto" w:w="0"/>
        <w:jc w:val="center"/>
        <w:tblLayout w:type="fixed"/>
        <w:tblLook w:firstColumn="1" w:firstRow="1" w:lastColumn="0" w:lastRow="0" w:noHBand="0" w:noVBand="1" w:val="04A0"/>
      </w:tblPr>
      <w:tblGrid>
        <w:gridCol w:w="9360"/>
      </w:tblGrid>
      <w:tr>
        <w:tc>
          <w:tcPr>
            <w:tcW w:type="dxa" w:w="9360"/>
            <w:shd w:fill="EAF2F5"/>
            <w:tcMar>
              <w:top w:w="150" w:type="dxa"/>
              <w:start w:w="180" w:type="dxa"/>
              <w:bottom w:w="150" w:type="dxa"/>
              <w:end w:w="180" w:type="dxa"/>
            </w:tcMar>
          </w:tcPr>
          <w:p>
            <w:r>
              <w:t>De bestuurlijke hoofdles: probeer onzekerheid niet voortijdig weg te nemen met geruststelling. Organiseer onzekerheid zichtbaar, controleerbaar en menselijk.</w:t>
            </w:r>
          </w:p>
        </w:tc>
      </w:tr>
    </w:tbl>
    <w:p>
      <w:pPr>
        <w:pStyle w:val="Heading1"/>
      </w:pPr>
      <w:r>
        <w:rPr>
          <w:b w:val="0"/>
          <w:i w:val="0"/>
        </w:rPr>
        <w:t>3. Wat de media beter hadden kunnen doen</w:t>
      </w:r>
    </w:p>
    <w:p>
      <w:pPr>
        <w:pStyle w:val="Heading2"/>
      </w:pPr>
      <w:r>
        <w:rPr>
          <w:b w:val="0"/>
          <w:i w:val="0"/>
        </w:rPr>
        <w:t>1. Feit, hypothese en verdenking zichtbaar scheiden</w:t>
      </w:r>
    </w:p>
    <w:p>
      <w:r>
        <w:rPr>
          <w:b w:val="0"/>
          <w:i w:val="0"/>
        </w:rPr>
        <w:t>Elk bericht had moeten aangeven wat door documenten of metingen was vastgesteld, wat een bron beweerde, wat de journalist afleidde en wat nog onbewezen was. DMMP was bijvoorbeeld aanwezig, maar was geen sarin en bewees geen chemische-wapenlading.</w:t>
      </w:r>
    </w:p>
    <w:p>
      <w:pPr>
        <w:pStyle w:val="Heading2"/>
      </w:pPr>
      <w:r>
        <w:rPr>
          <w:b w:val="0"/>
          <w:i w:val="0"/>
        </w:rPr>
        <w:t>2. Primaire bronnen vóór interpretaties plaatsen</w:t>
      </w:r>
    </w:p>
    <w:p>
      <w:r>
        <w:rPr>
          <w:b w:val="0"/>
          <w:i w:val="0"/>
        </w:rPr>
        <w:t>Radar- en DFDR-gegevens, het rapport van de Raad voor de Luchtvaart, vrachtbrieven, NOTOC, medische rapporten en openbare verhoren moesten het vertrekpunt zijn. Een herinnering of anonieme tip mocht aanleiding geven tot onderzoek, maar niet automatisch zwaarder wegen dan consistente gegevens.</w:t>
      </w:r>
    </w:p>
    <w:p>
      <w:pPr>
        <w:pStyle w:val="Heading2"/>
      </w:pPr>
      <w:r>
        <w:rPr>
          <w:b w:val="0"/>
          <w:i w:val="0"/>
        </w:rPr>
        <w:t>3. Oorspronkelijke deskundigen volwaardig horen</w:t>
      </w:r>
    </w:p>
    <w:p>
      <w:r>
        <w:rPr>
          <w:b w:val="0"/>
          <w:i w:val="0"/>
        </w:rPr>
        <w:t>Onderzoekers werden te gemakkelijk behandeld als vertegenwoordigers van “de overheid”. Werkelijk wederhoor betekende dat zij tijd en ruimte kregen om documenten, technische context, uitgevoerde tests en contra-indicaties te presenteren.</w:t>
      </w:r>
    </w:p>
    <w:p>
      <w:pPr>
        <w:pStyle w:val="Heading2"/>
        <w:pageBreakBefore/>
      </w:pPr>
      <w:r>
        <w:rPr>
          <w:b w:val="0"/>
          <w:i w:val="0"/>
        </w:rPr>
        <w:t>4. Fouten niet automatisch als opzet duiden</w:t>
      </w:r>
    </w:p>
    <w:p>
      <w:r>
        <w:rPr>
          <w:b w:val="0"/>
          <w:i w:val="0"/>
        </w:rPr>
        <w:t>Onvolledige informatie, administratieve vergissingen en late correcties konden ernstig zijn, maar bewezen geen fraude of doofpot. Beschuldigingen van liegen, bedriegen of keiharde fraude vereisten bewijs van bewust handelen.</w:t>
      </w:r>
    </w:p>
    <w:p>
      <w:pPr>
        <w:pStyle w:val="Heading2"/>
      </w:pPr>
      <w:r>
        <w:rPr>
          <w:b w:val="0"/>
          <w:i w:val="0"/>
        </w:rPr>
        <w:t>5. Anonieme bronnen strenger beoordelen</w:t>
      </w:r>
    </w:p>
    <w:p>
      <w:r>
        <w:rPr>
          <w:b w:val="0"/>
          <w:i w:val="0"/>
        </w:rPr>
        <w:t>Bij claims over plutonium, Mossad, chemische wapens of geheime lading moest duidelijk zijn hoe dicht de bron bij de informatie stond, of documenten of een tweede bron bestonden en welk belang de bron kon hebben.</w:t>
      </w:r>
    </w:p>
    <w:p>
      <w:pPr>
        <w:pStyle w:val="Heading2"/>
      </w:pPr>
      <w:r>
        <w:rPr>
          <w:b w:val="0"/>
          <w:i w:val="0"/>
        </w:rPr>
        <w:t>6. Koppen laten aansluiten bij de bewijssterkte</w:t>
      </w:r>
    </w:p>
    <w:p>
      <w:r>
        <w:rPr>
          <w:b w:val="0"/>
          <w:i w:val="0"/>
        </w:rPr>
        <w:t>Termen als “zenuwgas”, “giflading”, “vliegende chemiefabriek”, “verdwenen bewijs” en “doofpot” konden een sterkere indruk wekken dan het onderliggende materiaal rechtvaardigde. De nuance in de tekst compenseert een alarmerende kop niet altijd.</w:t>
      </w:r>
    </w:p>
    <w:p>
      <w:pPr>
        <w:pStyle w:val="Heading2"/>
      </w:pPr>
      <w:r>
        <w:rPr>
          <w:b w:val="0"/>
          <w:i w:val="0"/>
        </w:rPr>
        <w:t>7. Losse vraagstukken niet tot één verhaal versmelten</w:t>
      </w:r>
    </w:p>
    <w:p>
      <w:r>
        <w:rPr>
          <w:b w:val="0"/>
          <w:i w:val="0"/>
        </w:rPr>
        <w:t>Route, CVR, witte pakken, uranium, lading, gezondheid en overheidscommunicatie hadden afzonderlijk moeten worden onderzocht. Meerdere onduidelijkheden vormen niet vanzelf bewijs voor één georganiseerde oorzaak.</w:t>
      </w:r>
    </w:p>
    <w:p>
      <w:pPr>
        <w:pStyle w:val="Heading2"/>
      </w:pPr>
      <w:r>
        <w:rPr>
          <w:b w:val="0"/>
          <w:i w:val="0"/>
        </w:rPr>
        <w:t>8. De chronologie bewaken</w:t>
      </w:r>
    </w:p>
    <w:p>
      <w:r>
        <w:rPr>
          <w:b w:val="0"/>
          <w:i w:val="0"/>
        </w:rPr>
        <w:t>Journalisten hadden steeds moeten vastleggen wanneer informatie beschikbaar kwam, wanneer zij werd gecontroleerd en wanneer zij werd gecorrigeerd. Kennis uit 1998 of 1999 mag niet zonder bewijs worden toegeschreven aan onderzoekers of ministers in oktober 1992.</w:t>
      </w:r>
    </w:p>
    <w:p>
      <w:pPr>
        <w:pStyle w:val="Heading2"/>
      </w:pPr>
      <w:r>
        <w:rPr>
          <w:b w:val="0"/>
          <w:i w:val="0"/>
        </w:rPr>
        <w:t>9. Ontkrachtingen even zichtbaar publiceren als onthullingen</w:t>
      </w:r>
    </w:p>
    <w:p>
      <w:r>
        <w:rPr>
          <w:b w:val="0"/>
          <w:i w:val="0"/>
        </w:rPr>
        <w:t>Redacties hadden na vervolgonderzoek systematisch moeten terugkomen op eerdere claims. Een grote onthulling vraagt om een vergelijkbaar zichtbare correctie wanneer zij niet standhoudt.</w:t>
      </w:r>
    </w:p>
    <w:p>
      <w:pPr>
        <w:pStyle w:val="Heading2"/>
      </w:pPr>
      <w:r>
        <w:rPr>
          <w:b w:val="0"/>
          <w:i w:val="0"/>
        </w:rPr>
        <w:t>10. De eigen invloed op angst en politiek onderzoeken</w:t>
      </w:r>
    </w:p>
    <w:p>
      <w:r>
        <w:rPr>
          <w:b w:val="0"/>
          <w:i w:val="0"/>
        </w:rPr>
        <w:t>Berichtgeving over radioactiviteit, zenuwgas en geheime stoffen kon angst, klachtentoeschrijving en herbeleving versterken. Dit maakte klachten niet onwerkelijk, maar betekende dat risicoberichtgeving zelf een maatschappelijke factor werd.</w:t>
      </w:r>
    </w:p>
    <w:p>
      <w:pPr>
        <w:pStyle w:val="Heading2"/>
      </w:pPr>
      <w:r>
        <w:rPr>
          <w:b w:val="0"/>
          <w:i w:val="0"/>
        </w:rPr>
        <w:t>11. Politieke nabijheid transparant maken</w:t>
      </w:r>
    </w:p>
    <w:p>
      <w:r>
        <w:rPr>
          <w:b w:val="0"/>
          <w:i w:val="0"/>
        </w:rPr>
        <w:t>Wanneer journalisten documenten aan politici gaven, Kamervragen volgden en politieke informatie naar de redactie terugkeerde, ontstond een bevestigingskring. Die samenwerking mocht bestaan, maar moest transparant en onafhankelijk getoetst worden.</w:t>
      </w:r>
    </w:p>
    <w:p>
      <w:pPr>
        <w:pStyle w:val="Heading2"/>
      </w:pPr>
      <w:r>
        <w:rPr>
          <w:b w:val="0"/>
          <w:i w:val="0"/>
        </w:rPr>
        <w:t>12. Na 1999 openbare zelfcorrectie organiseren</w:t>
      </w:r>
    </w:p>
    <w:p>
      <w:r>
        <w:rPr>
          <w:b w:val="0"/>
          <w:i w:val="0"/>
        </w:rPr>
        <w:t>De enquête bood een unieke kans om te evalueren welke journalistieke onthullingen standhielden, welke gedeeltelijk juist waren en welke onbewezen of onjuist bleken. Die publieke evaluatie vond onvoldoende plaats.</w:t>
      </w:r>
    </w:p>
    <w:tbl>
      <w:tblPr>
        <w:tblW w:type="auto" w:w="0"/>
        <w:jc w:val="center"/>
        <w:tblLayout w:type="fixed"/>
        <w:tblLook w:firstColumn="1" w:firstRow="1" w:lastColumn="0" w:lastRow="0" w:noHBand="0" w:noVBand="1" w:val="04A0"/>
      </w:tblPr>
      <w:tblGrid>
        <w:gridCol w:w="9360"/>
      </w:tblGrid>
      <w:tr>
        <w:tc>
          <w:tcPr>
            <w:tcW w:type="dxa" w:w="9360"/>
            <w:shd w:fill="EAF2F5"/>
            <w:tcMar>
              <w:top w:w="150" w:type="dxa"/>
              <w:start w:w="180" w:type="dxa"/>
              <w:bottom w:w="150" w:type="dxa"/>
              <w:end w:w="180" w:type="dxa"/>
            </w:tcMar>
          </w:tcPr>
          <w:p>
            <w:r>
              <w:t>De journalistieke hoofdles: wees kritisch zonder iedere onzekerheid als verdenking en iedere verdenking als onthulling te presenteren.</w:t>
            </w:r>
          </w:p>
        </w:tc>
      </w:tr>
    </w:tbl>
    <w:p>
      <w:pPr>
        <w:pStyle w:val="Heading1"/>
      </w:pPr>
      <w:r>
        <w:rPr>
          <w:b w:val="0"/>
          <w:i w:val="0"/>
        </w:rPr>
        <w:t>4. Wat politici beter hadden kunnen doen</w:t>
      </w:r>
    </w:p>
    <w:p>
      <w:pPr>
        <w:pStyle w:val="Heading2"/>
      </w:pPr>
      <w:r>
        <w:rPr>
          <w:b w:val="0"/>
          <w:i w:val="0"/>
        </w:rPr>
        <w:t>1. Eerst degelijk vooronderzoek, daarna pas een enquête</w:t>
      </w:r>
    </w:p>
    <w:p>
      <w:r>
        <w:rPr>
          <w:b w:val="0"/>
          <w:i w:val="0"/>
        </w:rPr>
        <w:t>De Kamer had onafhankelijk moeten laten vaststellen welke vragen al beantwoord waren, welke documenten werkelijk ontbraken en welke onderwerpen nog onderzoek verdienden. Zo was de enquêteopdracht minder door media- en tijdsdruk bepaald.</w:t>
      </w:r>
    </w:p>
    <w:p>
      <w:pPr>
        <w:pStyle w:val="Heading2"/>
      </w:pPr>
      <w:r>
        <w:rPr>
          <w:b w:val="0"/>
          <w:i w:val="0"/>
        </w:rPr>
        <w:t>2. Het technische onderzoek werkelijk bestuderen</w:t>
      </w:r>
    </w:p>
    <w:p>
      <w:r>
        <w:rPr>
          <w:b w:val="0"/>
          <w:i w:val="0"/>
        </w:rPr>
        <w:t>Kamerleden hadden het rapport en de technische gegevens over route, motorseparatie, luchtwaardigheid en bestuurbaarheid eerst inhoudelijk moeten toetsen voordat journalistieke interpretaties tot politieke vragen werden verheven.</w:t>
      </w:r>
    </w:p>
    <w:p>
      <w:pPr>
        <w:pStyle w:val="Heading2"/>
      </w:pPr>
      <w:r>
        <w:rPr>
          <w:b w:val="0"/>
          <w:i w:val="0"/>
        </w:rPr>
        <w:t>3. Een onafhankelijke deskundigenstaf gebruiken</w:t>
      </w:r>
    </w:p>
    <w:p>
      <w:r>
        <w:rPr>
          <w:b w:val="0"/>
          <w:i w:val="0"/>
        </w:rPr>
        <w:t>De Kamer had luchtvaarttechnische, toxicologische, epidemiologische en documentaire expertise moeten organiseren om claims te classificeren als bevestigd, mogelijk, reeds onderzocht, technisch onwaarschijnlijk of onjuist.</w:t>
      </w:r>
    </w:p>
    <w:p>
      <w:pPr>
        <w:pStyle w:val="Heading2"/>
      </w:pPr>
      <w:r>
        <w:rPr>
          <w:b w:val="0"/>
          <w:i w:val="0"/>
        </w:rPr>
        <w:t>4. Kamervragen niet als verlengstuk van publiciteit gebruiken</w:t>
      </w:r>
    </w:p>
    <w:p>
      <w:r>
        <w:rPr>
          <w:b w:val="0"/>
          <w:i w:val="0"/>
        </w:rPr>
        <w:t>Een Kamervraag geeft een bewering status. Politici hadden vooraf moeten vragen naar de oorspronkelijke bron, documenten, deskundige toetsing, wederhoor en reeds bestaand onderzoek.</w:t>
      </w:r>
    </w:p>
    <w:p>
      <w:pPr>
        <w:pStyle w:val="Heading2"/>
      </w:pPr>
      <w:r>
        <w:rPr>
          <w:b w:val="0"/>
          <w:i w:val="0"/>
        </w:rPr>
        <w:t>5. Contacten met journalisten transparanter maken</w:t>
      </w:r>
    </w:p>
    <w:p>
      <w:r>
        <w:rPr>
          <w:b w:val="0"/>
          <w:i w:val="0"/>
        </w:rPr>
        <w:t>Politici hadden externe documenten, geraadpleegde deskundigen en de reden voor politieke agendering beter kunnen registreren. Dan was zichtbaar gebleven dat een vraag geen bevestiging van een claim is.</w:t>
      </w:r>
    </w:p>
    <w:p>
      <w:pPr>
        <w:pStyle w:val="Heading2"/>
      </w:pPr>
      <w:r>
        <w:rPr>
          <w:b w:val="0"/>
          <w:i w:val="0"/>
        </w:rPr>
        <w:t>6. De commissie beschermen tegen dagelijkse media-agendering</w:t>
      </w:r>
    </w:p>
    <w:p>
      <w:r>
        <w:rPr>
          <w:b w:val="0"/>
          <w:i w:val="0"/>
        </w:rPr>
        <w:t>Nieuwe informatie moest via een vast protocol worden beoordeeld: registreren, authenticiteit controleren, relevantie bepalen, contra-expertise organiseren en pas daarna besluiten over verhoren of taakuitbreiding.</w:t>
      </w:r>
    </w:p>
    <w:p>
      <w:pPr>
        <w:pStyle w:val="Heading2"/>
      </w:pPr>
      <w:r>
        <w:rPr>
          <w:b w:val="0"/>
          <w:i w:val="0"/>
        </w:rPr>
        <w:t>7. Getuigen niet als verdachten behandelen</w:t>
      </w:r>
    </w:p>
    <w:p>
      <w:r>
        <w:rPr>
          <w:b w:val="0"/>
          <w:i w:val="0"/>
        </w:rPr>
        <w:t>Openbare verhoren moesten eerst chronologie en documenten vaststellen. Een confronterende televisiestijl kon de suggestie wekken dat ambtenaren en onderzoekers hun onschuld moesten bewijzen, terwijl fout, nalatigheid en opzet nog niet waren onderscheiden.</w:t>
      </w:r>
    </w:p>
    <w:p>
      <w:pPr>
        <w:pStyle w:val="Heading2"/>
      </w:pPr>
      <w:r>
        <w:rPr>
          <w:b w:val="0"/>
          <w:i w:val="0"/>
        </w:rPr>
        <w:t>8. Een duidelijke bewijsladder hanteren</w:t>
      </w:r>
    </w:p>
    <w:p>
      <w:r>
        <w:rPr>
          <w:b w:val="0"/>
          <w:i w:val="0"/>
        </w:rPr>
        <w:t>Politiek en commissie hadden consequent onderscheid moeten maken tussen onvolledige informatie, onjuiste informatie, onzorgvuldigheid, nalatigheid, bewuste misleiding en georganiseerde fraude of doofpot.</w:t>
      </w:r>
    </w:p>
    <w:p>
      <w:pPr>
        <w:pStyle w:val="Heading2"/>
      </w:pPr>
      <w:r>
        <w:rPr>
          <w:b w:val="0"/>
          <w:i w:val="0"/>
        </w:rPr>
        <w:t>9. Gezondheidszorg loskoppelen van onbewezen causaliteit</w:t>
      </w:r>
    </w:p>
    <w:p>
      <w:r>
        <w:rPr>
          <w:b w:val="0"/>
          <w:i w:val="0"/>
        </w:rPr>
        <w:t>Bewoners en hulpverleners verdienden zorg en erkenning zonder eerst te hoeven aantonen dat uranium, DMMP of een geheime stof hun klachten veroorzaakte. Medische hulp en causaal onderzoek moesten parallel lopen.</w:t>
      </w:r>
    </w:p>
    <w:p>
      <w:pPr>
        <w:pStyle w:val="Heading2"/>
      </w:pPr>
      <w:r>
        <w:rPr>
          <w:b w:val="0"/>
          <w:i w:val="0"/>
        </w:rPr>
        <w:t>10. Niet spreken namens “de Bijlmer”</w:t>
      </w:r>
    </w:p>
    <w:p>
      <w:r>
        <w:rPr>
          <w:b w:val="0"/>
          <w:i w:val="0"/>
        </w:rPr>
        <w:t>Bewoners vormden geen homogene groep. Politici hadden ook stemmen moeten horen van mensen die geen doofpot vermoedden, naast degenen die verder onderzoek en erkenning verlangden.</w:t>
      </w:r>
    </w:p>
    <w:p>
      <w:pPr>
        <w:pStyle w:val="Heading2"/>
      </w:pPr>
      <w:r>
        <w:rPr>
          <w:b w:val="0"/>
          <w:i w:val="0"/>
        </w:rPr>
        <w:t>11. Na de enquête de dubbele conclusie uitleggen</w:t>
      </w:r>
    </w:p>
    <w:p>
      <w:r>
        <w:rPr>
          <w:b w:val="0"/>
          <w:i w:val="0"/>
        </w:rPr>
        <w:t>De overheid had ernstige communicatie- en coördinatiefouten gemaakt, maar er was geen bewijs voor een georganiseerde doofpot of een giftige geheime lading als algemene ziekteoorzaak. Juist deze dubbele conclusie moest helder worden uitgelegd.</w:t>
      </w:r>
    </w:p>
    <w:p>
      <w:pPr>
        <w:pStyle w:val="Heading2"/>
      </w:pPr>
      <w:r>
        <w:rPr>
          <w:b w:val="0"/>
          <w:i w:val="0"/>
        </w:rPr>
        <w:t>12. Ook het eigen politieke optreden evalueren</w:t>
      </w:r>
    </w:p>
    <w:p>
      <w:r>
        <w:rPr>
          <w:b w:val="0"/>
          <w:i w:val="0"/>
        </w:rPr>
        <w:t>De Kamer had moeten onderzoeken welke claims te snel waren overgenomen, of commissie-informatie naar de pers lekte, hoe televisie de verhoren beïnvloedde en of eerdere politieke standpunten de onafhankelijkheid van commissieleden raakten.</w:t>
      </w:r>
    </w:p>
    <w:p>
      <w:pPr>
        <w:pStyle w:val="Heading2"/>
      </w:pPr>
      <w:r>
        <w:rPr>
          <w:b w:val="0"/>
          <w:i w:val="0"/>
        </w:rPr>
        <w:t>13. Na 1999 niet telkens opnieuw beginnen</w:t>
      </w:r>
    </w:p>
    <w:p>
      <w:r>
        <w:rPr>
          <w:b w:val="0"/>
          <w:i w:val="0"/>
        </w:rPr>
        <w:t>Nieuwe openbaarheid of onderzoek kon zinvol zijn, maar moest beginnen met wat al onderzocht en geconcludeerd was en welk werkelijk nieuw bewijs een nieuwe vraag rechtvaardigde.</w:t>
      </w:r>
    </w:p>
    <w:tbl>
      <w:tblPr>
        <w:tblW w:type="auto" w:w="0"/>
        <w:jc w:val="center"/>
        <w:tblLayout w:type="fixed"/>
        <w:tblLook w:firstColumn="1" w:firstRow="1" w:lastColumn="0" w:lastRow="0" w:noHBand="0" w:noVBand="1" w:val="04A0"/>
      </w:tblPr>
      <w:tblGrid>
        <w:gridCol w:w="9360"/>
      </w:tblGrid>
      <w:tr>
        <w:tc>
          <w:tcPr>
            <w:tcW w:type="dxa" w:w="9360"/>
            <w:shd w:fill="EAF2F5"/>
            <w:tcMar>
              <w:top w:w="150" w:type="dxa"/>
              <w:start w:w="180" w:type="dxa"/>
              <w:bottom w:w="150" w:type="dxa"/>
              <w:end w:w="180" w:type="dxa"/>
            </w:tcMar>
          </w:tcPr>
          <w:p>
            <w:r>
              <w:t>De politieke hoofdles: wees empathisch tegenover mensen, kritisch tegenover instituties en streng tegenover bewijs.</w:t>
            </w:r>
          </w:p>
        </w:tc>
      </w:tr>
    </w:tbl>
    <w:p>
      <w:pPr>
        <w:pStyle w:val="Heading1"/>
      </w:pPr>
      <w:r>
        <w:rPr>
          <w:b w:val="0"/>
          <w:i w:val="0"/>
        </w:rPr>
        <w:t>5. Hoe de drie domeinen elkaar versterkten</w:t>
      </w:r>
    </w:p>
    <w:p>
      <w:r>
        <w:rPr>
          <w:b w:val="0"/>
          <w:i w:val="0"/>
        </w:rPr>
        <w:t>De maatschappelijke escalatie ontstond niet door één partij. Zij ontwikkelde zich als een terugkoppelingsproces:</w:t>
      </w:r>
    </w:p>
    <w:p>
      <w:pPr>
        <w:pStyle w:val="ListBullet"/>
      </w:pPr>
      <w:r>
        <w:rPr>
          <w:b w:val="0"/>
          <w:i w:val="0"/>
        </w:rPr>
        <w:t>De overheid communiceerde te stellig of onvolledig.</w:t>
      </w:r>
    </w:p>
    <w:p>
      <w:pPr>
        <w:pStyle w:val="ListBullet"/>
      </w:pPr>
      <w:r>
        <w:rPr>
          <w:b w:val="0"/>
          <w:i w:val="0"/>
        </w:rPr>
        <w:t>Journalisten behandelden aanvullingen en fouten als mogelijke aanwijzingen voor een groter verborgen verhaal.</w:t>
      </w:r>
    </w:p>
    <w:p>
      <w:pPr>
        <w:pStyle w:val="ListBullet"/>
      </w:pPr>
      <w:r>
        <w:rPr>
          <w:b w:val="0"/>
          <w:i w:val="0"/>
        </w:rPr>
        <w:t>Politici namen publicaties over in Kamervragen en onderzoeken.</w:t>
      </w:r>
    </w:p>
    <w:p>
      <w:pPr>
        <w:pStyle w:val="ListBullet"/>
      </w:pPr>
      <w:r>
        <w:rPr>
          <w:b w:val="0"/>
          <w:i w:val="0"/>
        </w:rPr>
        <w:t>De politieke aandacht verhoogde vervolgens de journalistieke geloofwaardigheid van de oorspronkelijke verdenking.</w:t>
      </w:r>
    </w:p>
    <w:p>
      <w:pPr>
        <w:pStyle w:val="ListBullet"/>
      </w:pPr>
      <w:r>
        <w:rPr>
          <w:b w:val="0"/>
          <w:i w:val="0"/>
        </w:rPr>
        <w:t>Nieuwe informatie of vertrouwelijke onderzoeksdetails vloeiden opnieuw naar de media.</w:t>
      </w:r>
    </w:p>
    <w:p>
      <w:pPr>
        <w:pStyle w:val="ListBullet"/>
      </w:pPr>
      <w:r>
        <w:rPr>
          <w:b w:val="0"/>
          <w:i w:val="0"/>
        </w:rPr>
        <w:t>Publieke onrust nam toe, waardoor verdere politieke actie onvermijdelijk leek.</w:t>
      </w:r>
    </w:p>
    <w:p>
      <w:r>
        <w:rPr>
          <w:b w:val="0"/>
          <w:i w:val="0"/>
        </w:rPr>
        <w:t>In zo’n kringloop kan iedere handeling op zichzelf legitiem zijn, terwijl het geheel toch een vertekenend effect krijgt. Onderzoek naar een theorie wordt dan aangezien voor bevestiging; politieke aandacht wordt bewijs van ernst; en een latere correctie wordt bewijs dat eerder iets is achtergehouden.</w:t>
      </w:r>
    </w:p>
    <w:p>
      <w:pPr>
        <w:pStyle w:val="Heading1"/>
      </w:pPr>
      <w:r>
        <w:rPr>
          <w:b w:val="0"/>
          <w:i w:val="0"/>
        </w:rPr>
        <w:t>6. Gezamenlijke verbeteragenda</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728"/>
            <w:tcMar>
              <w:top w:w="100" w:type="dxa"/>
              <w:start w:w="120" w:type="dxa"/>
              <w:bottom w:w="100" w:type="dxa"/>
              <w:end w:w="120" w:type="dxa"/>
            </w:tcMar>
            <w:vAlign w:val="center"/>
            <w:shd w:fill="17324D"/>
          </w:tcPr>
          <w:p>
            <w:r>
              <w:rPr>
                <w:b/>
                <w:color w:val="FFFFFF"/>
              </w:rPr>
              <w:t>Actor</w:t>
            </w:r>
          </w:p>
        </w:tc>
        <w:tc>
          <w:tcPr>
            <w:tcW w:type="dxa" w:w="3024"/>
            <w:tcMar>
              <w:top w:w="100" w:type="dxa"/>
              <w:start w:w="120" w:type="dxa"/>
              <w:bottom w:w="100" w:type="dxa"/>
              <w:end w:w="120" w:type="dxa"/>
            </w:tcMar>
            <w:vAlign w:val="center"/>
            <w:shd w:fill="17324D"/>
          </w:tcPr>
          <w:p>
            <w:r>
              <w:rPr>
                <w:b/>
                <w:color w:val="FFFFFF"/>
              </w:rPr>
              <w:t>Eerste verantwoordelijkheid</w:t>
            </w:r>
          </w:p>
        </w:tc>
        <w:tc>
          <w:tcPr>
            <w:tcW w:type="dxa" w:w="4608"/>
            <w:tcMar>
              <w:top w:w="100" w:type="dxa"/>
              <w:start w:w="120" w:type="dxa"/>
              <w:bottom w:w="100" w:type="dxa"/>
              <w:end w:w="120" w:type="dxa"/>
            </w:tcMar>
            <w:vAlign w:val="center"/>
            <w:shd w:fill="17324D"/>
          </w:tcPr>
          <w:p>
            <w:r>
              <w:rPr>
                <w:b/>
                <w:color w:val="FFFFFF"/>
              </w:rPr>
              <w:t>Concrete waarborg</w:t>
            </w:r>
          </w:p>
        </w:tc>
      </w:tr>
      <w:tr>
        <w:tc>
          <w:tcPr>
            <w:tcW w:type="dxa" w:w="1728"/>
            <w:tcMar>
              <w:top w:w="100" w:type="dxa"/>
              <w:start w:w="120" w:type="dxa"/>
              <w:bottom w:w="100" w:type="dxa"/>
              <w:end w:w="120" w:type="dxa"/>
            </w:tcMar>
            <w:vAlign w:val="center"/>
          </w:tcPr>
          <w:p>
            <w:r>
              <w:t>Overheid</w:t>
            </w:r>
          </w:p>
        </w:tc>
        <w:tc>
          <w:tcPr>
            <w:tcW w:type="dxa" w:w="3024"/>
            <w:tcMar>
              <w:top w:w="100" w:type="dxa"/>
              <w:start w:w="120" w:type="dxa"/>
              <w:bottom w:w="100" w:type="dxa"/>
              <w:end w:w="120" w:type="dxa"/>
            </w:tcMar>
            <w:vAlign w:val="center"/>
          </w:tcPr>
          <w:p>
            <w:r>
              <w:t>Geordende openbaarheid</w:t>
            </w:r>
          </w:p>
        </w:tc>
        <w:tc>
          <w:tcPr>
            <w:tcW w:type="dxa" w:w="4608"/>
            <w:tcMar>
              <w:top w:w="100" w:type="dxa"/>
              <w:start w:w="120" w:type="dxa"/>
              <w:bottom w:w="100" w:type="dxa"/>
              <w:end w:w="120" w:type="dxa"/>
            </w:tcMar>
            <w:vAlign w:val="center"/>
          </w:tcPr>
          <w:p>
            <w:r>
              <w:t>Eén tijdlijn, één dossier, vaste updates en zichtbare correcties</w:t>
            </w:r>
          </w:p>
        </w:tc>
      </w:tr>
      <w:tr>
        <w:tc>
          <w:tcPr>
            <w:tcW w:type="dxa" w:w="1728"/>
            <w:tcMar>
              <w:top w:w="100" w:type="dxa"/>
              <w:start w:w="120" w:type="dxa"/>
              <w:bottom w:w="100" w:type="dxa"/>
              <w:end w:w="120" w:type="dxa"/>
            </w:tcMar>
            <w:vAlign w:val="center"/>
            <w:shd w:fill="F2F6F8"/>
          </w:tcPr>
          <w:p>
            <w:r>
              <w:t>Media</w:t>
            </w:r>
          </w:p>
        </w:tc>
        <w:tc>
          <w:tcPr>
            <w:tcW w:type="dxa" w:w="3024"/>
            <w:tcMar>
              <w:top w:w="100" w:type="dxa"/>
              <w:start w:w="120" w:type="dxa"/>
              <w:bottom w:w="100" w:type="dxa"/>
              <w:end w:w="120" w:type="dxa"/>
            </w:tcMar>
            <w:vAlign w:val="center"/>
            <w:shd w:fill="F2F6F8"/>
          </w:tcPr>
          <w:p>
            <w:r>
              <w:t>Controleerbare waarheidsvinding</w:t>
            </w:r>
          </w:p>
        </w:tc>
        <w:tc>
          <w:tcPr>
            <w:tcW w:type="dxa" w:w="4608"/>
            <w:tcMar>
              <w:top w:w="100" w:type="dxa"/>
              <w:start w:w="120" w:type="dxa"/>
              <w:bottom w:w="100" w:type="dxa"/>
              <w:end w:w="120" w:type="dxa"/>
            </w:tcMar>
            <w:vAlign w:val="center"/>
            <w:shd w:fill="F2F6F8"/>
          </w:tcPr>
          <w:p>
            <w:r>
              <w:t>Bewijslabels, primaire bronnen, volwaardig wederhoor en vervolgcorrecties</w:t>
            </w:r>
          </w:p>
        </w:tc>
      </w:tr>
      <w:tr>
        <w:tc>
          <w:tcPr>
            <w:tcW w:type="dxa" w:w="1728"/>
            <w:tcMar>
              <w:top w:w="100" w:type="dxa"/>
              <w:start w:w="120" w:type="dxa"/>
              <w:bottom w:w="100" w:type="dxa"/>
              <w:end w:w="120" w:type="dxa"/>
            </w:tcMar>
            <w:vAlign w:val="center"/>
          </w:tcPr>
          <w:p>
            <w:r>
              <w:t>Politiek</w:t>
            </w:r>
          </w:p>
        </w:tc>
        <w:tc>
          <w:tcPr>
            <w:tcW w:type="dxa" w:w="3024"/>
            <w:tcMar>
              <w:top w:w="100" w:type="dxa"/>
              <w:start w:w="120" w:type="dxa"/>
              <w:bottom w:w="100" w:type="dxa"/>
              <w:end w:w="120" w:type="dxa"/>
            </w:tcMar>
            <w:vAlign w:val="center"/>
          </w:tcPr>
          <w:p>
            <w:r>
              <w:t>Proportionele controle</w:t>
            </w:r>
          </w:p>
        </w:tc>
        <w:tc>
          <w:tcPr>
            <w:tcW w:type="dxa" w:w="4608"/>
            <w:tcMar>
              <w:top w:w="100" w:type="dxa"/>
              <w:start w:w="120" w:type="dxa"/>
              <w:bottom w:w="100" w:type="dxa"/>
              <w:end w:w="120" w:type="dxa"/>
            </w:tcMar>
            <w:vAlign w:val="center"/>
          </w:tcPr>
          <w:p>
            <w:r>
              <w:t>Vooronderzoek, onafhankelijke expertise en een expliciete bewijsladder</w:t>
            </w:r>
          </w:p>
        </w:tc>
      </w:tr>
      <w:tr>
        <w:tc>
          <w:tcPr>
            <w:tcW w:type="dxa" w:w="1728"/>
            <w:tcMar>
              <w:top w:w="100" w:type="dxa"/>
              <w:start w:w="120" w:type="dxa"/>
              <w:bottom w:w="100" w:type="dxa"/>
              <w:end w:w="120" w:type="dxa"/>
            </w:tcMar>
            <w:vAlign w:val="center"/>
            <w:shd w:fill="F2F6F8"/>
          </w:tcPr>
          <w:p>
            <w:r>
              <w:t>Gezamenlijk</w:t>
            </w:r>
          </w:p>
        </w:tc>
        <w:tc>
          <w:tcPr>
            <w:tcW w:type="dxa" w:w="3024"/>
            <w:tcMar>
              <w:top w:w="100" w:type="dxa"/>
              <w:start w:w="120" w:type="dxa"/>
              <w:bottom w:w="100" w:type="dxa"/>
              <w:end w:w="120" w:type="dxa"/>
            </w:tcMar>
            <w:vAlign w:val="center"/>
            <w:shd w:fill="F2F6F8"/>
          </w:tcPr>
          <w:p>
            <w:r>
              <w:t>Bescherming tegen zelfversterking</w:t>
            </w:r>
          </w:p>
        </w:tc>
        <w:tc>
          <w:tcPr>
            <w:tcW w:type="dxa" w:w="4608"/>
            <w:tcMar>
              <w:top w:w="100" w:type="dxa"/>
              <w:start w:w="120" w:type="dxa"/>
              <w:bottom w:w="100" w:type="dxa"/>
              <w:end w:w="120" w:type="dxa"/>
            </w:tcMar>
            <w:vAlign w:val="center"/>
            <w:shd w:fill="F2F6F8"/>
          </w:tcPr>
          <w:p>
            <w:r>
              <w:t>Openheid over contacten, bronroutes, onzekerheden en gewijzigde conclusies</w:t>
            </w:r>
          </w:p>
        </w:tc>
      </w:tr>
    </w:tbl>
    <w:p>
      <w:pPr>
        <w:pStyle w:val="Heading1"/>
      </w:pPr>
      <w:r>
        <w:rPr>
          <w:b w:val="0"/>
          <w:i w:val="0"/>
        </w:rPr>
        <w:t>7. Eindoordeel</w:t>
      </w:r>
    </w:p>
    <w:tbl>
      <w:tblPr>
        <w:tblW w:type="auto" w:w="0"/>
        <w:jc w:val="center"/>
        <w:tblLayout w:type="fixed"/>
        <w:tblLook w:firstColumn="1" w:firstRow="1" w:lastColumn="0" w:lastRow="0" w:noHBand="0" w:noVBand="1" w:val="04A0"/>
      </w:tblPr>
      <w:tblGrid>
        <w:gridCol w:w="9360"/>
      </w:tblGrid>
      <w:tr>
        <w:tc>
          <w:tcPr>
            <w:tcW w:type="dxa" w:w="9360"/>
            <w:shd w:fill="EAF2F5"/>
            <w:tcMar>
              <w:top w:w="150" w:type="dxa"/>
              <w:start w:w="180" w:type="dxa"/>
              <w:bottom w:w="150" w:type="dxa"/>
              <w:end w:w="180" w:type="dxa"/>
            </w:tcMar>
          </w:tcPr>
          <w:p>
            <w:r>
              <w:t>De Bijlmerramp kon niet worden teruggebracht tot een technisch dossier alleen. Zij werd ook een bestuurlijke, journalistieke, politieke en psychosociale crisis. Geen van de drie domeinen droeg alleen de verantwoordelijkheid; alle drie hadden mogelijkheden om de zelfversterkende dynamiek af te remmen.</w:t>
            </w:r>
          </w:p>
        </w:tc>
      </w:tr>
    </w:tbl>
    <w:p>
      <w:r>
        <w:rPr>
          <w:b w:val="0"/>
          <w:i w:val="0"/>
        </w:rPr>
        <w:t>De overheid had onzekerheid opener en consistenter moeten organiseren. De media hadden bewijs, hypothese en verdenking scherper moeten scheiden en eigen publicaties zichtbaar moeten onderhouden. Politici hadden maatschappelijke erkenning moeten combineren met onafhankelijk vooronderzoek en een strengere bewijsdiscipline.</w:t>
      </w:r>
    </w:p>
    <w:p>
      <w:r>
        <w:rPr>
          <w:b w:val="0"/>
          <w:i w:val="0"/>
        </w:rPr>
        <w:t>Volledige rust was niet haalbaar. Een minder langdurige en minder gepolariseerde nasleep waarschijnlijk wel. De belangrijkste gezamenlijke les luidt:</w:t>
      </w:r>
    </w:p>
    <w:p>
      <w:pPr>
        <w:spacing w:before="200" w:after="200"/>
        <w:jc w:val="center"/>
      </w:pPr>
      <w:r>
        <w:rPr>
          <w:b/>
          <w:i w:val="0"/>
          <w:color w:val="17324D"/>
        </w:rPr>
        <w:t>Geef mensen erkenning zonder onbewezen oorzaken te bevestigen; geef instituties kritiek zonder opzet te veronderstellen; en geef onzekerheid ruimte zonder haar tot mysterie te verheffen.</w:t>
      </w:r>
    </w:p>
    <w:p>
      <w:pPr>
        <w:pStyle w:val="Heading1"/>
      </w:pPr>
      <w:r>
        <w:rPr>
          <w:b w:val="0"/>
          <w:i w:val="0"/>
        </w:rPr>
        <w:t>Verantwoording</w:t>
      </w:r>
    </w:p>
    <w:p>
      <w:r>
        <w:rPr>
          <w:b w:val="0"/>
          <w:i/>
          <w:color w:val="5C6670"/>
          <w:sz w:val="18"/>
        </w:rPr>
        <w:t>Dit document is een samenvoeging en redactionele verwerking van drie analyses over overheid, media en politiek. Het is een normatieve evaluatie op basis van de bekende onderzoeks- en communicatiegeschiedenis. Waar intentie of georganiseerd handelen niet is bewezen, wordt dat niet als feit gepresenteerd.</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C6670"/>
        <w:sz w:val="16"/>
      </w:rPr>
      <w:t xml:space="preserve">Institutionele en journalistieke lessen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C6670"/>
        <w:sz w:val="16"/>
      </w:rPr>
      <w:t>BIJLMERRAMP  |  LESSEN VOOR OVERHEID, MEDIA EN POLITIEK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2028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D6E8C"/>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D6E8C"/>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 hadden overheid, media en politiek beter kunnen doen?</dc:title>
  <dc:subject/>
  <dc:creator>Henk Pruis / samengestelde analyse</dc:creator>
  <cp:keywords/>
  <dc:description>generated by python-docx</dc:description>
  <cp:lastModifiedBy/>
  <cp:revision>1</cp:revision>
  <dcterms:created xsi:type="dcterms:W3CDTF">2013-12-23T23:15:00Z</dcterms:created>
  <dcterms:modified xsi:type="dcterms:W3CDTF">2013-12-23T23:15:00Z</dcterms:modified>
  <cp:category/>
</cp:coreProperties>
</file>